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60" w:rsidRDefault="00CB7360" w:rsidP="00CB7360">
      <w:pPr>
        <w:rPr>
          <w:rFonts w:ascii="Times New Roman" w:hAnsi="Times New Roman" w:cs="Times New Roman"/>
          <w:sz w:val="28"/>
          <w:szCs w:val="28"/>
        </w:rPr>
      </w:pPr>
      <w:r>
        <w:rPr>
          <w:rFonts w:ascii="Times New Roman" w:hAnsi="Times New Roman" w:cs="Times New Roman"/>
          <w:sz w:val="28"/>
          <w:szCs w:val="28"/>
        </w:rPr>
        <w:t>Прокуратура Злынковского района информирует</w:t>
      </w:r>
    </w:p>
    <w:p w:rsidR="00CB7360" w:rsidRPr="00CB7360" w:rsidRDefault="00825C6A" w:rsidP="00CB7360">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sidR="00CB7360" w:rsidRPr="00CB7360">
        <w:rPr>
          <w:rFonts w:ascii="Times New Roman" w:eastAsia="Times New Roman" w:hAnsi="Times New Roman" w:cs="Times New Roman"/>
          <w:b/>
          <w:bCs/>
          <w:sz w:val="28"/>
          <w:szCs w:val="28"/>
          <w:lang w:eastAsia="ru-RU"/>
        </w:rPr>
        <w:t>Заемщики по валютным ипотечным кредитам смогут изменить валюту обязательства на рубли по официальному курсу на 18 февраля 2022 года</w:t>
      </w:r>
    </w:p>
    <w:p w:rsidR="00CB7360" w:rsidRPr="00CB7360" w:rsidRDefault="00CB7360" w:rsidP="00CB7360">
      <w:pPr>
        <w:spacing w:after="0" w:line="240" w:lineRule="auto"/>
        <w:jc w:val="both"/>
        <w:rPr>
          <w:rFonts w:ascii="Times New Roman" w:eastAsia="Times New Roman" w:hAnsi="Times New Roman" w:cs="Times New Roman"/>
          <w:sz w:val="28"/>
          <w:szCs w:val="28"/>
          <w:lang w:eastAsia="ru-RU"/>
        </w:rPr>
      </w:pPr>
    </w:p>
    <w:p w:rsidR="00CB7360" w:rsidRPr="00CB7360" w:rsidRDefault="00CB7360" w:rsidP="00CB7360">
      <w:pPr>
        <w:spacing w:line="240" w:lineRule="auto"/>
        <w:ind w:firstLine="708"/>
        <w:jc w:val="both"/>
        <w:rPr>
          <w:rFonts w:ascii="Times New Roman" w:eastAsia="Times New Roman" w:hAnsi="Times New Roman" w:cs="Times New Roman"/>
          <w:sz w:val="24"/>
          <w:szCs w:val="24"/>
          <w:lang w:eastAsia="ru-RU"/>
        </w:rPr>
      </w:pPr>
      <w:r w:rsidRPr="00CB7360">
        <w:rPr>
          <w:rFonts w:ascii="Times New Roman" w:eastAsia="Times New Roman" w:hAnsi="Times New Roman" w:cs="Times New Roman"/>
          <w:sz w:val="28"/>
          <w:szCs w:val="28"/>
          <w:lang w:eastAsia="ru-RU"/>
        </w:rPr>
        <w:t>Согласно Информационного письма Банка Рос</w:t>
      </w:r>
      <w:r>
        <w:rPr>
          <w:rFonts w:ascii="Times New Roman" w:eastAsia="Times New Roman" w:hAnsi="Times New Roman" w:cs="Times New Roman"/>
          <w:sz w:val="28"/>
          <w:szCs w:val="28"/>
          <w:lang w:eastAsia="ru-RU"/>
        </w:rPr>
        <w:t>сии от 28.03.2022 N ИН-02-59/41</w:t>
      </w:r>
      <w:r w:rsidRPr="00CB7360">
        <w:rPr>
          <w:rFonts w:ascii="Times New Roman" w:eastAsia="Times New Roman" w:hAnsi="Times New Roman" w:cs="Times New Roman"/>
          <w:sz w:val="28"/>
          <w:szCs w:val="28"/>
          <w:lang w:eastAsia="ru-RU"/>
        </w:rPr>
        <w:t>"О реструктуризации кредитов в иностранной валюте" Банк России рекомендует кредитным организациям в случае обращения до 31 мая 2022 года заемщиков - физических лиц по указанным кредитам, заключенным до 22 февраля 2022 года в целях, не связанных с осуществлением предпринимательской деятельности, с заявлением об изменении условий договора, предполагающим изменение валюты обязательства на рубли, удовлетворять данные заявления.</w:t>
      </w:r>
    </w:p>
    <w:p w:rsidR="00CB7360" w:rsidRPr="00CB7360" w:rsidRDefault="00CB7360" w:rsidP="00CB7360">
      <w:pPr>
        <w:spacing w:after="0" w:line="240" w:lineRule="auto"/>
        <w:ind w:firstLine="708"/>
        <w:jc w:val="both"/>
        <w:rPr>
          <w:rFonts w:ascii="Times New Roman" w:eastAsia="Times New Roman" w:hAnsi="Times New Roman" w:cs="Times New Roman"/>
          <w:sz w:val="28"/>
          <w:szCs w:val="28"/>
          <w:lang w:eastAsia="ru-RU"/>
        </w:rPr>
      </w:pPr>
      <w:r w:rsidRPr="00CB7360">
        <w:rPr>
          <w:rFonts w:ascii="Times New Roman" w:eastAsia="Times New Roman" w:hAnsi="Times New Roman" w:cs="Times New Roman"/>
          <w:sz w:val="28"/>
          <w:szCs w:val="28"/>
          <w:lang w:eastAsia="ru-RU"/>
        </w:rPr>
        <w:t>При этом предусмотрены виды кредитов, на которые должно быть обращено внимание в первую очередь.</w:t>
      </w:r>
    </w:p>
    <w:p w:rsidR="00CB7360" w:rsidRPr="00CB7360" w:rsidRDefault="00CB7360" w:rsidP="00CB7360">
      <w:pPr>
        <w:spacing w:after="0" w:line="240" w:lineRule="auto"/>
        <w:jc w:val="both"/>
        <w:rPr>
          <w:rFonts w:ascii="Times New Roman" w:eastAsia="Times New Roman" w:hAnsi="Times New Roman" w:cs="Times New Roman"/>
          <w:sz w:val="28"/>
          <w:szCs w:val="28"/>
          <w:lang w:eastAsia="ru-RU"/>
        </w:rPr>
      </w:pPr>
      <w:r w:rsidRPr="00CB7360">
        <w:rPr>
          <w:rFonts w:ascii="Times New Roman" w:eastAsia="Times New Roman" w:hAnsi="Times New Roman" w:cs="Times New Roman"/>
          <w:sz w:val="28"/>
          <w:szCs w:val="28"/>
          <w:lang w:eastAsia="ru-RU"/>
        </w:rPr>
        <w:t>Рекомендуется определять размер процентов за пользование кредитом в рублях в размере не более ключевой ставки Банка России на 25 марта 2022 года, предусмотрев в качестве условия кредита возможность снижения размера процентов в случае уменьшения ключевой ставки.</w:t>
      </w:r>
    </w:p>
    <w:p w:rsidR="00CB7360" w:rsidRPr="00CB7360" w:rsidRDefault="00CB7360" w:rsidP="00CB7360">
      <w:pPr>
        <w:spacing w:after="0" w:line="240" w:lineRule="auto"/>
        <w:jc w:val="both"/>
        <w:rPr>
          <w:rFonts w:ascii="Times New Roman" w:eastAsia="Times New Roman" w:hAnsi="Times New Roman" w:cs="Times New Roman"/>
          <w:sz w:val="28"/>
          <w:szCs w:val="28"/>
          <w:lang w:eastAsia="ru-RU"/>
        </w:rPr>
      </w:pPr>
      <w:r w:rsidRPr="00CB736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CB7360">
        <w:rPr>
          <w:rFonts w:ascii="Times New Roman" w:eastAsia="Times New Roman" w:hAnsi="Times New Roman" w:cs="Times New Roman"/>
          <w:bCs/>
          <w:sz w:val="28"/>
          <w:szCs w:val="28"/>
          <w:lang w:eastAsia="ru-RU"/>
        </w:rPr>
        <w:t>С 11 апреля заработает программа льготного кредитования технологических компаний, работающих над значимыми для города проектами</w:t>
      </w:r>
    </w:p>
    <w:tbl>
      <w:tblPr>
        <w:tblW w:w="5000" w:type="pct"/>
        <w:tblCellMar>
          <w:top w:w="15" w:type="dxa"/>
          <w:left w:w="15" w:type="dxa"/>
          <w:bottom w:w="15" w:type="dxa"/>
          <w:right w:w="15" w:type="dxa"/>
        </w:tblCellMar>
        <w:tblLook w:val="04A0" w:firstRow="1" w:lastRow="0" w:firstColumn="1" w:lastColumn="0" w:noHBand="0" w:noVBand="1"/>
      </w:tblPr>
      <w:tblGrid>
        <w:gridCol w:w="336"/>
        <w:gridCol w:w="9019"/>
      </w:tblGrid>
      <w:tr w:rsidR="00CB7360" w:rsidRPr="00CB7360" w:rsidTr="00CB7360">
        <w:tc>
          <w:tcPr>
            <w:tcW w:w="180" w:type="dxa"/>
            <w:tcMar>
              <w:top w:w="0" w:type="dxa"/>
              <w:left w:w="180" w:type="dxa"/>
              <w:bottom w:w="0" w:type="dxa"/>
              <w:right w:w="150" w:type="dxa"/>
            </w:tcMar>
          </w:tcPr>
          <w:p w:rsidR="00CB7360" w:rsidRPr="00CB7360" w:rsidRDefault="00CB7360" w:rsidP="00CB7360">
            <w:pPr>
              <w:spacing w:after="0" w:line="240" w:lineRule="auto"/>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rsidR="00CB7360" w:rsidRPr="00CB7360" w:rsidRDefault="00CB7360" w:rsidP="00CB7360">
            <w:pPr>
              <w:spacing w:after="0" w:line="240" w:lineRule="auto"/>
              <w:rPr>
                <w:rFonts w:ascii="Times New Roman" w:eastAsia="Times New Roman" w:hAnsi="Times New Roman" w:cs="Times New Roman"/>
                <w:sz w:val="28"/>
                <w:szCs w:val="28"/>
                <w:lang w:eastAsia="ru-RU"/>
              </w:rPr>
            </w:pPr>
          </w:p>
        </w:tc>
      </w:tr>
    </w:tbl>
    <w:p w:rsidR="00CB7360" w:rsidRPr="00CB7360" w:rsidRDefault="00CB7360" w:rsidP="00CB7360">
      <w:pPr>
        <w:spacing w:after="0" w:line="240" w:lineRule="auto"/>
        <w:ind w:firstLine="708"/>
        <w:jc w:val="both"/>
        <w:rPr>
          <w:rFonts w:ascii="Times New Roman" w:eastAsia="Times New Roman" w:hAnsi="Times New Roman" w:cs="Times New Roman"/>
          <w:sz w:val="28"/>
          <w:szCs w:val="28"/>
          <w:lang w:eastAsia="ru-RU"/>
        </w:rPr>
      </w:pPr>
      <w:r w:rsidRPr="00CB7360">
        <w:rPr>
          <w:rFonts w:ascii="Times New Roman" w:eastAsia="Times New Roman" w:hAnsi="Times New Roman" w:cs="Times New Roman"/>
          <w:sz w:val="28"/>
          <w:szCs w:val="28"/>
          <w:lang w:eastAsia="ru-RU"/>
        </w:rPr>
        <w:t xml:space="preserve">Подать заявку на участие в программе могут предприятия среднего, малого и </w:t>
      </w:r>
      <w:proofErr w:type="spellStart"/>
      <w:r w:rsidRPr="00CB7360">
        <w:rPr>
          <w:rFonts w:ascii="Times New Roman" w:eastAsia="Times New Roman" w:hAnsi="Times New Roman" w:cs="Times New Roman"/>
          <w:sz w:val="28"/>
          <w:szCs w:val="28"/>
          <w:lang w:eastAsia="ru-RU"/>
        </w:rPr>
        <w:t>микробизнеса</w:t>
      </w:r>
      <w:proofErr w:type="spellEnd"/>
      <w:r w:rsidRPr="00CB7360">
        <w:rPr>
          <w:rFonts w:ascii="Times New Roman" w:eastAsia="Times New Roman" w:hAnsi="Times New Roman" w:cs="Times New Roman"/>
          <w:sz w:val="28"/>
          <w:szCs w:val="28"/>
          <w:lang w:eastAsia="ru-RU"/>
        </w:rPr>
        <w:t>. Из программы исключены организации, связанные с крупным бизнесом, застройщики и представители подакцизных сфер.</w:t>
      </w:r>
    </w:p>
    <w:p w:rsidR="00CB7360" w:rsidRPr="00CB7360" w:rsidRDefault="00CB7360" w:rsidP="00CB7360">
      <w:pPr>
        <w:spacing w:after="0" w:line="240" w:lineRule="auto"/>
        <w:jc w:val="both"/>
        <w:rPr>
          <w:rFonts w:ascii="Times New Roman" w:eastAsia="Times New Roman" w:hAnsi="Times New Roman" w:cs="Times New Roman"/>
          <w:sz w:val="28"/>
          <w:szCs w:val="28"/>
          <w:lang w:eastAsia="ru-RU"/>
        </w:rPr>
      </w:pPr>
      <w:r w:rsidRPr="00CB7360">
        <w:rPr>
          <w:rFonts w:ascii="Times New Roman" w:eastAsia="Times New Roman" w:hAnsi="Times New Roman" w:cs="Times New Roman"/>
          <w:sz w:val="28"/>
          <w:szCs w:val="28"/>
          <w:lang w:eastAsia="ru-RU"/>
        </w:rPr>
        <w:t xml:space="preserve">За счет субсидий Москва компенсирует предпринимателям часть ставки по кредиту. Для среднего бизнеса она составит 5,5 процента, для малого и </w:t>
      </w:r>
      <w:proofErr w:type="spellStart"/>
      <w:r w:rsidRPr="00CB7360">
        <w:rPr>
          <w:rFonts w:ascii="Times New Roman" w:eastAsia="Times New Roman" w:hAnsi="Times New Roman" w:cs="Times New Roman"/>
          <w:sz w:val="28"/>
          <w:szCs w:val="28"/>
          <w:lang w:eastAsia="ru-RU"/>
        </w:rPr>
        <w:t>микробизнеса</w:t>
      </w:r>
      <w:proofErr w:type="spellEnd"/>
      <w:r w:rsidRPr="00CB7360">
        <w:rPr>
          <w:rFonts w:ascii="Times New Roman" w:eastAsia="Times New Roman" w:hAnsi="Times New Roman" w:cs="Times New Roman"/>
          <w:sz w:val="28"/>
          <w:szCs w:val="28"/>
          <w:lang w:eastAsia="ru-RU"/>
        </w:rPr>
        <w:t xml:space="preserve"> - семь процентов. Город также будет проводить предварительный отбор и экспертизу проектов.</w:t>
      </w:r>
    </w:p>
    <w:p w:rsidR="00CB7360" w:rsidRPr="00CB7360" w:rsidRDefault="00CB7360" w:rsidP="00CB7360">
      <w:pPr>
        <w:spacing w:after="0" w:line="240" w:lineRule="auto"/>
        <w:ind w:firstLine="708"/>
        <w:jc w:val="both"/>
        <w:rPr>
          <w:rFonts w:ascii="Times New Roman" w:eastAsia="Times New Roman" w:hAnsi="Times New Roman" w:cs="Times New Roman"/>
          <w:sz w:val="28"/>
          <w:szCs w:val="28"/>
          <w:lang w:eastAsia="ru-RU"/>
        </w:rPr>
      </w:pPr>
      <w:r w:rsidRPr="00CB7360">
        <w:rPr>
          <w:rFonts w:ascii="Times New Roman" w:eastAsia="Times New Roman" w:hAnsi="Times New Roman" w:cs="Times New Roman"/>
          <w:sz w:val="28"/>
          <w:szCs w:val="28"/>
          <w:lang w:eastAsia="ru-RU"/>
        </w:rPr>
        <w:t>Корпорация МСП сможет покрыть за счет "зонтичного" поручительства до 50 процентов суммы кредита при недостатке залога для получения финансирования. Поручительство можно будет оформить при обращении за кредитом, собирать дополнительный пакет документов и подавать отдельную заявку не потребуется. Сумма займа может достигать 300 миллионов рублей.</w:t>
      </w:r>
    </w:p>
    <w:p w:rsidR="00CB7360" w:rsidRDefault="00CB7360" w:rsidP="00CB7360">
      <w:pPr>
        <w:spacing w:after="0" w:line="240" w:lineRule="auto"/>
        <w:jc w:val="both"/>
        <w:rPr>
          <w:rFonts w:ascii="Times New Roman" w:eastAsia="Times New Roman" w:hAnsi="Times New Roman" w:cs="Times New Roman"/>
          <w:sz w:val="28"/>
          <w:szCs w:val="28"/>
          <w:lang w:eastAsia="ru-RU"/>
        </w:rPr>
      </w:pPr>
    </w:p>
    <w:p w:rsidR="00CB7360" w:rsidRDefault="00CB7360" w:rsidP="00CB73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прокурора района                                                           С.В. Новик</w:t>
      </w:r>
    </w:p>
    <w:p w:rsidR="00CB7360" w:rsidRDefault="00CB7360" w:rsidP="00CB7360">
      <w:pPr>
        <w:rPr>
          <w:rFonts w:ascii="Times New Roman" w:hAnsi="Times New Roman" w:cs="Times New Roman"/>
          <w:sz w:val="28"/>
          <w:szCs w:val="28"/>
        </w:rPr>
      </w:pPr>
    </w:p>
    <w:p w:rsidR="0024291A" w:rsidRDefault="0024291A"/>
    <w:sectPr w:rsidR="0024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63"/>
    <w:rsid w:val="0024291A"/>
    <w:rsid w:val="006D0163"/>
    <w:rsid w:val="00825C6A"/>
    <w:rsid w:val="00CB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0491"/>
  <w15:chartTrackingRefBased/>
  <w15:docId w15:val="{2193B72A-EC48-448B-812C-361253F2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36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C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5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6794">
      <w:bodyDiv w:val="1"/>
      <w:marLeft w:val="0"/>
      <w:marRight w:val="0"/>
      <w:marTop w:val="0"/>
      <w:marBottom w:val="0"/>
      <w:divBdr>
        <w:top w:val="none" w:sz="0" w:space="0" w:color="auto"/>
        <w:left w:val="none" w:sz="0" w:space="0" w:color="auto"/>
        <w:bottom w:val="none" w:sz="0" w:space="0" w:color="auto"/>
        <w:right w:val="none" w:sz="0" w:space="0" w:color="auto"/>
      </w:divBdr>
    </w:div>
    <w:div w:id="1036663017">
      <w:bodyDiv w:val="1"/>
      <w:marLeft w:val="0"/>
      <w:marRight w:val="0"/>
      <w:marTop w:val="0"/>
      <w:marBottom w:val="0"/>
      <w:divBdr>
        <w:top w:val="none" w:sz="0" w:space="0" w:color="auto"/>
        <w:left w:val="none" w:sz="0" w:space="0" w:color="auto"/>
        <w:bottom w:val="none" w:sz="0" w:space="0" w:color="auto"/>
        <w:right w:val="none" w:sz="0" w:space="0" w:color="auto"/>
      </w:divBdr>
      <w:divsChild>
        <w:div w:id="1394311167">
          <w:marLeft w:val="0"/>
          <w:marRight w:val="0"/>
          <w:marTop w:val="0"/>
          <w:marBottom w:val="0"/>
          <w:divBdr>
            <w:top w:val="none" w:sz="0" w:space="0" w:color="auto"/>
            <w:left w:val="none" w:sz="0" w:space="0" w:color="auto"/>
            <w:bottom w:val="none" w:sz="0" w:space="0" w:color="auto"/>
            <w:right w:val="none" w:sz="0" w:space="0" w:color="auto"/>
          </w:divBdr>
        </w:div>
      </w:divsChild>
    </w:div>
    <w:div w:id="1709528231">
      <w:bodyDiv w:val="1"/>
      <w:marLeft w:val="0"/>
      <w:marRight w:val="0"/>
      <w:marTop w:val="0"/>
      <w:marBottom w:val="0"/>
      <w:divBdr>
        <w:top w:val="none" w:sz="0" w:space="0" w:color="auto"/>
        <w:left w:val="none" w:sz="0" w:space="0" w:color="auto"/>
        <w:bottom w:val="none" w:sz="0" w:space="0" w:color="auto"/>
        <w:right w:val="none" w:sz="0" w:space="0" w:color="auto"/>
      </w:divBdr>
    </w:div>
    <w:div w:id="2057969696">
      <w:bodyDiv w:val="1"/>
      <w:marLeft w:val="0"/>
      <w:marRight w:val="0"/>
      <w:marTop w:val="0"/>
      <w:marBottom w:val="0"/>
      <w:divBdr>
        <w:top w:val="none" w:sz="0" w:space="0" w:color="auto"/>
        <w:left w:val="none" w:sz="0" w:space="0" w:color="auto"/>
        <w:bottom w:val="none" w:sz="0" w:space="0" w:color="auto"/>
        <w:right w:val="none" w:sz="0" w:space="0" w:color="auto"/>
      </w:divBdr>
      <w:divsChild>
        <w:div w:id="7112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5</cp:revision>
  <cp:lastPrinted>2022-03-31T08:18:00Z</cp:lastPrinted>
  <dcterms:created xsi:type="dcterms:W3CDTF">2022-03-31T07:01:00Z</dcterms:created>
  <dcterms:modified xsi:type="dcterms:W3CDTF">2022-03-31T08:18:00Z</dcterms:modified>
</cp:coreProperties>
</file>